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541" w:rsidRPr="000C6577" w:rsidRDefault="006F1541" w:rsidP="006F154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eastAsia="SimSun" w:hAnsi="Times New Roman" w:cs="Times New Roman"/>
          <w:lang w:eastAsia="ru-RU"/>
        </w:rPr>
      </w:pPr>
      <w:r w:rsidRPr="000C6577">
        <w:rPr>
          <w:rFonts w:ascii="Times New Roman CYR" w:eastAsia="SimSun" w:hAnsi="Times New Roman" w:cs="Times New Roman"/>
          <w:color w:val="000000"/>
          <w:lang w:eastAsia="ru-RU"/>
        </w:rPr>
        <w:t>Приложение</w:t>
      </w:r>
      <w:r w:rsidRPr="000C6577">
        <w:rPr>
          <w:rFonts w:ascii="Times New Roman CYR" w:eastAsia="SimSun" w:hAnsi="Times New Roman" w:cs="Times New Roman"/>
          <w:color w:val="000000"/>
          <w:lang w:eastAsia="ru-RU"/>
        </w:rPr>
        <w:t xml:space="preserve"> </w:t>
      </w:r>
      <w:r w:rsidRPr="000C6577">
        <w:rPr>
          <w:rFonts w:ascii="Times New Roman CYR" w:eastAsia="SimSun" w:hAnsi="Times New Roman" w:cs="Times New Roman"/>
          <w:lang w:eastAsia="ru-RU"/>
        </w:rPr>
        <w:t>16</w:t>
      </w:r>
    </w:p>
    <w:p w:rsidR="006F1541" w:rsidRPr="000C6577" w:rsidRDefault="006F1541" w:rsidP="006F154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0C6577">
        <w:rPr>
          <w:rFonts w:ascii="Times New Roman" w:eastAsia="SimSun" w:hAnsi="Times New Roman" w:cs="Times New Roman"/>
          <w:color w:val="000000"/>
          <w:lang w:eastAsia="ru-RU"/>
        </w:rPr>
        <w:t xml:space="preserve">к постановлению </w:t>
      </w:r>
    </w:p>
    <w:p w:rsidR="006F1541" w:rsidRPr="000C6577" w:rsidRDefault="006F1541" w:rsidP="006F154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0C6577">
        <w:rPr>
          <w:rFonts w:ascii="Times New Roman" w:eastAsia="SimSun" w:hAnsi="Times New Roman" w:cs="Times New Roman"/>
          <w:color w:val="000000"/>
          <w:lang w:eastAsia="ru-RU"/>
        </w:rPr>
        <w:t xml:space="preserve">Администрации Тогульского сельсовета </w:t>
      </w:r>
    </w:p>
    <w:p w:rsidR="006F1541" w:rsidRPr="000C6577" w:rsidRDefault="006F1541" w:rsidP="006F154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0C6577">
        <w:rPr>
          <w:rFonts w:ascii="Times New Roman" w:eastAsia="SimSun" w:hAnsi="Times New Roman" w:cs="Times New Roman"/>
          <w:color w:val="000000"/>
          <w:lang w:eastAsia="ru-RU"/>
        </w:rPr>
        <w:t xml:space="preserve">Тогульского района Алтайского края </w:t>
      </w:r>
    </w:p>
    <w:p w:rsidR="006F1541" w:rsidRPr="000C6577" w:rsidRDefault="006F1541" w:rsidP="006F154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color w:val="000000"/>
        </w:rPr>
      </w:pPr>
      <w:r w:rsidRPr="000C6577">
        <w:rPr>
          <w:rFonts w:ascii="Times New Roman" w:eastAsia="SimSun" w:hAnsi="Times New Roman" w:cs="Times New Roman"/>
          <w:color w:val="000000"/>
          <w:lang w:eastAsia="ru-RU"/>
        </w:rPr>
        <w:t>от 10.12.2025 № 158</w:t>
      </w:r>
      <w:bookmarkStart w:id="0" w:name="_GoBack"/>
      <w:bookmarkEnd w:id="0"/>
    </w:p>
    <w:p w:rsidR="00E80CB8" w:rsidRPr="006F1541" w:rsidRDefault="00E80CB8" w:rsidP="006F1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и сроки передачи первичных учетных документов для отражения в бухгалтерском учете</w:t>
      </w:r>
    </w:p>
    <w:p w:rsidR="00E80CB8" w:rsidRPr="006F1541" w:rsidRDefault="00E80CB8" w:rsidP="006F1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>Правило документооборота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  1. Для подтверждения фактов хозяйственной жизни используются унифицированные формы первичных документов, утвержденных приказом Минфина от 30.03.2015 № 52н. Если для оформления хозяйственных операций унифицированные формы первичных документов не предусмотрены, используются самостоятельно разработанные формы, которые установлены в учетной политике</w:t>
      </w:r>
      <w:r w:rsidR="00A77D08" w:rsidRPr="006F1541">
        <w:rPr>
          <w:rFonts w:ascii="Times New Roman" w:hAnsi="Times New Roman" w:cs="Times New Roman"/>
          <w:sz w:val="24"/>
          <w:szCs w:val="24"/>
        </w:rPr>
        <w:t xml:space="preserve"> (приложение 1</w:t>
      </w:r>
      <w:r w:rsidR="002A0614" w:rsidRPr="006F1541">
        <w:rPr>
          <w:rFonts w:ascii="Times New Roman" w:hAnsi="Times New Roman" w:cs="Times New Roman"/>
          <w:sz w:val="24"/>
          <w:szCs w:val="24"/>
        </w:rPr>
        <w:t>7</w:t>
      </w:r>
      <w:r w:rsidR="00C54ABF" w:rsidRPr="006F1541">
        <w:rPr>
          <w:rFonts w:ascii="Times New Roman" w:hAnsi="Times New Roman" w:cs="Times New Roman"/>
          <w:sz w:val="24"/>
          <w:szCs w:val="24"/>
        </w:rPr>
        <w:t>)</w:t>
      </w:r>
      <w:r w:rsidRPr="006F15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2.Порядок и сроки передачи первичных учетных документов для отражения в бухгалтерском учете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устанавливаются в соответствии с графиком документооборота (приложением 1).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Основание: пункт 22 СГС «Концептуальные основы бухучета и отчетности», подпункт «д» пункта 9 СГС «Учетная политика, оценочные значения и ошибки».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3. При поступлении документов на иностранном языке построчный перевод таких документов на русский язык осуществляется сотрудником учреждения. Переводы составляются на отдельном документе, заверяются подписью сотрудника, составившего перевод, и прикладываются к </w:t>
      </w:r>
      <w:r w:rsidR="00C54ABF" w:rsidRPr="006F1541">
        <w:rPr>
          <w:rFonts w:ascii="Times New Roman" w:hAnsi="Times New Roman" w:cs="Times New Roman"/>
          <w:sz w:val="24"/>
          <w:szCs w:val="24"/>
        </w:rPr>
        <w:t>п</w:t>
      </w:r>
      <w:r w:rsidRPr="006F1541">
        <w:rPr>
          <w:rFonts w:ascii="Times New Roman" w:hAnsi="Times New Roman" w:cs="Times New Roman"/>
          <w:sz w:val="24"/>
          <w:szCs w:val="24"/>
        </w:rPr>
        <w:t xml:space="preserve">ервичным документам. В случае невозможности перевода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документа привлекается профессиональный переводчик. Перевод денежных (финансовых) документов заверяется нотариусом. Если документы на иностранном языке составлены по типовой форме (идентичны по количеству граф, их названию, расшифровке работ и т. д. и отличаются только суммой), то в отношении их постоянных показателей достаточно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однократного перевода на русский язык. Впоследствии переводить нужно только изменяющиеся показатели данного первичного документа. Основание: пункт 31 СГС «Концептуальные основы бухучета и отчетности».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4. Формирование электронных регистров бухучета осуществляется в следующем порядке: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в регистрах в хронологическом порядке систематизируются первичные (сводные) учетные документы по датам совершения операций, дате принятия к учету первичного документа;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инвентарная карточка учета основных средств оформляется при принятии объекта к учету, по мере внесения изменений (данных о переоценке, модернизации, реконструкции, консервации и пр.) и при выбытии. При отсутствии указанных событий – ежегодно, на последний рабочий день года, со сведениями о начисленной амортизации;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инвентарная карточка группового учета основных средств оформляется при принятии объектов к учету, по мере внесения изменений (данных о переоценке, модернизации, реконструкции, консервации и пр.) и при выбытии;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опись инвентарных карточек по учету основных средств, инвентарный список основных средств, реестр карточек заполняются ежегодно, в последний день года;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книга учета бланков строгой отчетности, книга аналитического учета депонированной зарплаты и стипендий заполняются ежемесячно, в последний день месяца;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журналы операций, главная книга заполняются ежемесячно;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другие регистры, не указанные выше, заполняются по мере необходимости, если иное не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установлено законодательством РФ. Основание: пункт 11 Инструкции к Единому плану счетов № 157н.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5. Журнал операций расчетов по оплате труда, денежному довольствию и стипендиям (ф. 0504071) ведется раздельно по кодам финансового обеспечения деятельности и раздельно по счетам: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КБК Х.302.11 «Расчеты по заработной плате» и КБК Х.302.13 «Расчеты по начислениям на выплаты по оплате труда»;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КБК Х.302.12 «Расчеты по прочим выплатам»;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– КБК Х.302.96 «Расчеты по иным расходам».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Основание: пункт 257 Инструкции к Единому плану счетов № 157н.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6. Журналам операций присваиваются номера согласно приложению 2.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lastRenderedPageBreak/>
        <w:t xml:space="preserve">7. Первичные и сводные учетные документы, бухгалтерские регистры составляются в форме электронного документа, подписанного квалифицированной электронной подписью. При отсутствии возможности составить документ, регистр в электронном виде, он может быть составлен на бумажном носителе и заверен собственноручной подписью.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Список сотрудников, имеющих право подписи электронных документов и регистров бухучета, утверждается отдельным приказом. Основание: часть 5 статьи 9 Закона от 06.12.2011 № 402-ФЗ, пункт 11 Инструкции к Единому плану счетов № 157н, пункт 32 СГС «Концептуальные основы бухучета и отчетности», Методические указания, утвержденные приказом Минфина от 30.03.2015 № 52н, статья 2 Закона от 06.04.2011 № 63-ФЗ. 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  8. Электронные документы, подписанные квалифицированной электронной подписью, хранятся в электронном виде на съемных носителях информации в соответствии с порядком учета и хранения съемных носителей информации. При этом ведется журнал учета и движения электронных носителей. Журнал должен быть пронумерован, прошнурован и скреплен печатью учреждения. Ведение и хранение журнала возлагается приказом руководителя на ответственного сотрудника учреждения. Основание: пункт 33 СГС «Концептуальные основы бухучета и отчетности», пункт 14 Инструкции к Единому плану счетов № 157н.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  9.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система электронного документооборота с территориальным органом Казначейства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России;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передача бухгалтерской отчетности учредителю;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передача отчетности по налогам, сборам и иным обязательным платежам в инспекцию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передача отчетности по страховым взносам и сведениям персонифицированного учета </w:t>
      </w:r>
      <w:proofErr w:type="gramStart"/>
      <w:r w:rsidRPr="006F154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отделение Пенсионного фонда;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размещение информации о деятельности учреждения на официальном сайте bus.gov.ru.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 10. Первичные учетные документы, бухгалтерские отчеты, которые сформированы в форме электронных документов и подписаны квалифицированной электронной подписью, хранятся на электронных носителях совместно с сертификатом ключа подписи. Хранение данных документов обеспечивается на срок не менее пяти лет. 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  11. По требованию контролирующих ведомств, прежде чем передать на проверку, копии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электронных документов распечатываются и заверяются руководителем. Сроки хранения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документов установлены в соответствии с перечнем, утвержденным приказом Минкультуры от 25.08.2010 № 558, и отражены в номенклатуре дел.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Номера журналов операций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Номер журнала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Наименование журнала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1 Журнал операций по счету «Касса»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2 Журнал операций с безналичными денежными средствами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3 Журнал операций расчетов с подотчетными лицами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4 Журнал операций расчетов с поставщиками и подрядчиками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5 Журнал операций расчетов с дебиторами по доходам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6 Журнал операций расчетов по оплате труда, денежному довольствию и стипендиям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7 Журнал операций по выбытию и перемещению нефинансовых активов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541">
        <w:rPr>
          <w:rFonts w:ascii="Times New Roman" w:hAnsi="Times New Roman" w:cs="Times New Roman"/>
          <w:sz w:val="24"/>
          <w:szCs w:val="24"/>
        </w:rPr>
        <w:t xml:space="preserve">8 Журнал по прочим операциям </w:t>
      </w:r>
    </w:p>
    <w:p w:rsidR="00E80CB8" w:rsidRPr="006F1541" w:rsidRDefault="00E80CB8" w:rsidP="006F1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0CB8" w:rsidRPr="006F1541" w:rsidSect="000C6577">
      <w:pgSz w:w="11906" w:h="16838"/>
      <w:pgMar w:top="42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49"/>
    <w:rsid w:val="000C6577"/>
    <w:rsid w:val="002A0614"/>
    <w:rsid w:val="002E5B2D"/>
    <w:rsid w:val="00375E4D"/>
    <w:rsid w:val="003F1249"/>
    <w:rsid w:val="0040746A"/>
    <w:rsid w:val="004A6887"/>
    <w:rsid w:val="005B228C"/>
    <w:rsid w:val="006F1541"/>
    <w:rsid w:val="008D17CA"/>
    <w:rsid w:val="00973540"/>
    <w:rsid w:val="00A77D08"/>
    <w:rsid w:val="00C54ABF"/>
    <w:rsid w:val="00C606C6"/>
    <w:rsid w:val="00E40050"/>
    <w:rsid w:val="00E80CB8"/>
    <w:rsid w:val="00F6434C"/>
    <w:rsid w:val="00FC2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ПК</cp:lastModifiedBy>
  <cp:revision>13</cp:revision>
  <cp:lastPrinted>2025-12-18T04:24:00Z</cp:lastPrinted>
  <dcterms:created xsi:type="dcterms:W3CDTF">2024-05-21T07:51:00Z</dcterms:created>
  <dcterms:modified xsi:type="dcterms:W3CDTF">2025-12-18T04:25:00Z</dcterms:modified>
</cp:coreProperties>
</file>